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0F" w:rsidRPr="003707CD" w:rsidRDefault="00A8560F" w:rsidP="003707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07CD">
        <w:rPr>
          <w:rFonts w:ascii="Times New Roman" w:hAnsi="Times New Roman" w:cs="Times New Roman"/>
          <w:b/>
          <w:sz w:val="28"/>
          <w:szCs w:val="28"/>
          <w:lang w:eastAsia="ru-RU"/>
        </w:rPr>
        <w:t>Контрольное задание</w:t>
      </w:r>
    </w:p>
    <w:p w:rsidR="00A8560F" w:rsidRPr="003707CD" w:rsidRDefault="00A8560F" w:rsidP="003707C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7CD">
        <w:rPr>
          <w:rFonts w:ascii="Times New Roman" w:hAnsi="Times New Roman" w:cs="Times New Roman"/>
          <w:sz w:val="28"/>
          <w:szCs w:val="28"/>
          <w:lang w:eastAsia="ru-RU"/>
        </w:rPr>
        <w:t>Провести оценку потенциальной опасности дефектного участка.</w:t>
      </w:r>
    </w:p>
    <w:p w:rsidR="00A8560F" w:rsidRPr="003707CD" w:rsidRDefault="00A8560F" w:rsidP="003707C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7CD">
        <w:rPr>
          <w:rFonts w:ascii="Times New Roman" w:hAnsi="Times New Roman" w:cs="Times New Roman"/>
          <w:sz w:val="28"/>
          <w:szCs w:val="28"/>
          <w:lang w:eastAsia="ru-RU"/>
        </w:rPr>
        <w:t>Расчет остаточного ресурса участка трубопровода с поверхностным дефектом.</w:t>
      </w:r>
    </w:p>
    <w:p w:rsidR="00A8560F" w:rsidRPr="0061510F" w:rsidRDefault="00A8560F" w:rsidP="00A8560F">
      <w:pPr>
        <w:rPr>
          <w:sz w:val="24"/>
          <w:szCs w:val="24"/>
          <w:lang w:eastAsia="ru-RU"/>
        </w:rPr>
      </w:pP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588"/>
        <w:gridCol w:w="851"/>
        <w:gridCol w:w="850"/>
        <w:gridCol w:w="993"/>
        <w:gridCol w:w="708"/>
        <w:gridCol w:w="709"/>
        <w:gridCol w:w="851"/>
        <w:gridCol w:w="1275"/>
        <w:gridCol w:w="709"/>
        <w:gridCol w:w="851"/>
      </w:tblGrid>
      <w:tr w:rsidR="00A8560F" w:rsidRPr="00A8560F" w:rsidTr="00A8560F">
        <w:trPr>
          <w:trHeight w:val="380"/>
          <w:jc w:val="center"/>
        </w:trPr>
        <w:tc>
          <w:tcPr>
            <w:tcW w:w="525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88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Транспортируемая среда</w:t>
            </w:r>
          </w:p>
        </w:tc>
        <w:tc>
          <w:tcPr>
            <w:tcW w:w="851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850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8560F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раб</w:t>
            </w: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МПа</w:t>
            </w:r>
          </w:p>
        </w:tc>
        <w:tc>
          <w:tcPr>
            <w:tcW w:w="993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ввода в эксплуатацию</w:t>
            </w:r>
          </w:p>
        </w:tc>
        <w:tc>
          <w:tcPr>
            <w:tcW w:w="2268" w:type="dxa"/>
            <w:gridSpan w:val="3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дефекта</w:t>
            </w:r>
          </w:p>
        </w:tc>
        <w:tc>
          <w:tcPr>
            <w:tcW w:w="1275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Скорость коррозии, мм/год</w:t>
            </w:r>
          </w:p>
        </w:tc>
        <w:tc>
          <w:tcPr>
            <w:tcW w:w="709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73"/>
            </w:r>
            <w:r w:rsidRPr="00A8560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Вmin МПа</w:t>
            </w:r>
          </w:p>
        </w:tc>
        <w:tc>
          <w:tcPr>
            <w:tcW w:w="851" w:type="dxa"/>
            <w:vMerge w:val="restart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73"/>
            </w:r>
            <w:r w:rsidRPr="00A8560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Тmin МПа</w:t>
            </w:r>
          </w:p>
        </w:tc>
      </w:tr>
      <w:tr w:rsidR="00A8560F" w:rsidRPr="00A8560F" w:rsidTr="00A8560F">
        <w:trPr>
          <w:trHeight w:val="570"/>
          <w:jc w:val="center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Дл,</w:t>
            </w:r>
          </w:p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Гл, мм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Тл.стенки трубы, 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560F" w:rsidRPr="00A8560F" w:rsidTr="00A8560F">
        <w:trPr>
          <w:trHeight w:val="316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A8560F" w:rsidRPr="00A8560F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A8560F" w:rsidRPr="00872DBE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Стабильный конденсат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560F" w:rsidRPr="00A8560F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8560F" w:rsidRPr="00A8560F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8560F" w:rsidRPr="00A8560F" w:rsidRDefault="00A8560F" w:rsidP="00872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="008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8560F" w:rsidRPr="00A8560F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560F" w:rsidRPr="00A8560F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560F" w:rsidRPr="00A8560F" w:rsidRDefault="00872DBE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560F" w:rsidRPr="00A8560F" w:rsidRDefault="00A8560F" w:rsidP="00A856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560F" w:rsidRPr="00A8560F" w:rsidRDefault="00A8560F" w:rsidP="00872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8560F" w:rsidRPr="00A8560F" w:rsidRDefault="00A8560F" w:rsidP="00872D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72D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56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A8560F" w:rsidRDefault="00A8560F" w:rsidP="00A8560F">
      <w:pPr>
        <w:rPr>
          <w:szCs w:val="28"/>
        </w:rPr>
      </w:pPr>
    </w:p>
    <w:p w:rsidR="000F7E91" w:rsidRDefault="000F7E91" w:rsidP="00A8560F">
      <w:pPr>
        <w:spacing w:after="0" w:line="360" w:lineRule="auto"/>
        <w:ind w:firstLine="709"/>
        <w:jc w:val="both"/>
        <w:rPr>
          <w:noProof/>
          <w:lang w:eastAsia="ru-RU"/>
        </w:rPr>
      </w:pPr>
    </w:p>
    <w:p w:rsidR="00A8560F" w:rsidRDefault="000F7E91" w:rsidP="000F7E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68CC22" wp14:editId="0A3F614F">
            <wp:extent cx="5681033" cy="405338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277" t="26968" r="24163" b="8873"/>
                    <a:stretch/>
                  </pic:blipFill>
                  <pic:spPr bwMode="auto">
                    <a:xfrm>
                      <a:off x="0" y="0"/>
                      <a:ext cx="5693789" cy="4062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560F" w:rsidRDefault="000F7E91" w:rsidP="000F7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Графики, ограничивающие размеры дефектов трубопровода 377х12 (σ</w:t>
      </w:r>
      <w:r w:rsidRPr="000F7E9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260 МПа, σ</w:t>
      </w:r>
      <w:r w:rsidRPr="000F7E9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420 МПа, Рраб = 6,4 МПа)</w:t>
      </w: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60F" w:rsidRPr="00A55678" w:rsidRDefault="003707CD" w:rsidP="003707C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 построения графика для диагностики модифицированной методике института Баттелля, отраженной в ANSI В 31G.</w:t>
      </w:r>
    </w:p>
    <w:p w:rsidR="00233011" w:rsidRDefault="00233011" w:rsidP="00370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диагностики трубопроводов разработаны специальные графики. Используя их, можно с большой долей вероятности сделать прогноз о работе трубопровода и необходимости ремонта. </w:t>
      </w:r>
    </w:p>
    <w:p w:rsidR="00233011" w:rsidRDefault="00233011" w:rsidP="00370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для диагностики трубопровода представляет собой несколько линий, каждая из которых имеет свою характеристику.</w:t>
      </w:r>
    </w:p>
    <w:p w:rsidR="00A8560F" w:rsidRDefault="00A8560F" w:rsidP="003707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Прямая I представляет собой припуск на коррозию и ограничивает зону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проектных условий эксплуатации трубопровода. 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A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203AF" wp14:editId="67A43653">
            <wp:extent cx="5191125" cy="3695700"/>
            <wp:effectExtent l="0" t="0" r="9525" b="0"/>
            <wp:docPr id="5" name="Рисунок 5" descr="Пример графического представления областей параме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имер графического представления областей параметр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60F" w:rsidRPr="003707CD" w:rsidRDefault="00A8560F" w:rsidP="00A85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772E76" w:rsidRPr="00772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Пример графического представления областей параметров</w:t>
      </w:r>
    </w:p>
    <w:p w:rsidR="00A8560F" w:rsidRPr="003707CD" w:rsidRDefault="00A8560F" w:rsidP="00A856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дефектов с различной степенью потенциальной опасности</w:t>
      </w: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011" w:rsidRDefault="00233011" w:rsidP="002330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II получают путем пошаговых вычислений допустимого рабочего давления дефектного участка трубопровода до величины рабочего (проектного или планируемого) давления трубопровода (Рраб.) при изменении длины и глубины дефекта (в зависимости от длины дефекта), с шагом соответственно 1 мм и 0,05 мм. При этом рабочее давление в трубопроводе 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допускается с проектным коэффициентом запаса прочности относительно разрушающего давления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2)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 с достаточно глубокими дефектами допускается к эксплуатации при наличии припуска на сплошную коррозию, округлении расчетных значений толщины стенки трубы до стандартных значений и возможного отличия рабочего давления от проектного. Уменьшение коэффициента запаса должно быть обосновано экспериментально</w:t>
      </w:r>
      <w:r w:rsid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теоретическими исследованиями.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III получают путем пошаговых вычислений допустимого рабочего давления дефектного участка трубопровода до величины, при которой разруш</w:t>
      </w:r>
      <w:r w:rsid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ающее давление.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IV получают при</w:t>
      </w:r>
      <w:r w:rsidR="00370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коэффициенте запаса прочности, 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ограничивающем предельные размеры потенциально опасных дефектов (горизонтальный участок графика соответствует глубине дефекта, равной 60% от толщины стенки трубы). График V строят при размерах дефектов, способных вызвать разрушение трубопровода при рабочем давлении (N=1).</w:t>
      </w: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Горизонтальные участки графиков II, III, ограничивающие предельную глубину дефектов в областях 2 и 3, получают переносом точки А с графика IV (в месте, соответствующем 60 % от толщины стенки трубы) на графики II, III.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Пунктирная линия строится путем параллельного перемещения графика III на величину, определяемую произведением максимальной вероятной скорости развития глубины дефекта или скорости коррозии аналогичных</w:t>
      </w:r>
      <w:r w:rsid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трубопроводов на время до следующего освидетельствования (в данном случае 5 лет).</w:t>
      </w:r>
    </w:p>
    <w:p w:rsidR="00131806" w:rsidRDefault="001318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707CD" w:rsidRPr="00A55678" w:rsidRDefault="003707CD" w:rsidP="003707C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Диагностика дефектов трубопровода по графику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области расположения данных внутритрубной дефектоскопии на графиках (рисунок </w:t>
      </w:r>
      <w:r w:rsidR="00772E76" w:rsidRPr="00772E7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 условия дальнейшей эксплуатации или ремонта дефектных участков трубопровода, не содержащих трещипоподобных дефектов.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1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припуск на коррозию, проектные условия эксплуатации трубопровода.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2 - допустимое состояние эксплуатации трубопровода, содержащего допустимые дефекты в условиях, обеспечивающих эффективную электрохимическую и ингибиторную защиту.</w:t>
      </w:r>
    </w:p>
    <w:p w:rsidR="00233011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3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участок трубопровода содержит потенциально опасные дефекты и подлежит ремонту. </w:t>
      </w:r>
    </w:p>
    <w:p w:rsidR="00233011" w:rsidRDefault="00233011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необходимо провести ремонт:</w:t>
      </w:r>
    </w:p>
    <w:p w:rsidR="00233011" w:rsidRDefault="00233011" w:rsidP="0023301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560F" w:rsidRP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плановом порядке, если дефект находится, ниже тонкой линии графика III, делящего область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8560F" w:rsidRP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560F" w:rsidRPr="00233011" w:rsidRDefault="00233011" w:rsidP="0023301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560F" w:rsidRPr="00233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года, если дефект находится выше тонкой линии графика.</w:t>
      </w:r>
    </w:p>
    <w:p w:rsidR="00A8560F" w:rsidRP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4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участок трубопровода содержит опасные дефекты и подлежит ремонту в кратчайшие сроки (внеплановый ремонт).</w:t>
      </w:r>
    </w:p>
    <w:p w:rsidR="00A8560F" w:rsidRDefault="00A8560F" w:rsidP="00A856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необходимости эксплуатации трубопровода с потенциально опасными или опасными дефектами, расположенными в 3-й или 4-ой областях, проводят расчет и соответственно по результатам расчёта снижают давление в трубопроводе.</w:t>
      </w:r>
    </w:p>
    <w:p w:rsidR="00131806" w:rsidRDefault="0013180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8560F" w:rsidRPr="00A55678" w:rsidRDefault="004B42A1" w:rsidP="004B42A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Обработка данных диагностики</w:t>
      </w:r>
    </w:p>
    <w:p w:rsidR="00A62805" w:rsidRDefault="00A62805" w:rsidP="00A6280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диагностики используем графики, ограничивающие дефекты, специально для трубопроводов 377х12</w:t>
      </w:r>
      <w:r w:rsidR="00C07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(рисунок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 характеристики:</w:t>
      </w:r>
    </w:p>
    <w:p w:rsidR="00A62805" w:rsidRDefault="00A62805" w:rsidP="00A628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σ</w:t>
      </w:r>
      <w:r w:rsidRPr="000F7E9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260 МПа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2805" w:rsidRDefault="00A62805" w:rsidP="00A628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σ</w:t>
      </w:r>
      <w:r w:rsidRPr="00A6280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420 МПа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2805" w:rsidRPr="00A62805" w:rsidRDefault="00A62805" w:rsidP="00A62805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Рраб = 6,4 МПа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2A1" w:rsidRPr="00A62805" w:rsidRDefault="004B42A1" w:rsidP="00A6280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Нанесем на график информацию об имеющемся дефекте – </w:t>
      </w:r>
      <w:r w:rsidR="00A55678"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</w:t>
      </w:r>
      <w:r w:rsid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а 285 мм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глубин</w:t>
      </w:r>
      <w:r w:rsid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дефекта </w:t>
      </w:r>
      <w:r w:rsid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3,5 мм 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(рисунок </w:t>
      </w:r>
      <w:r w:rsidR="00A62805"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5678"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805" w:rsidRDefault="00A62805" w:rsidP="00A6280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графика показывает, что имеющийся дефект попадает в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Такие дефекты являются 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A8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условиях, обеспечивающих эффективную электрохимическую и ингибиторную защиту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область.</w:t>
      </w:r>
    </w:p>
    <w:p w:rsidR="00A62805" w:rsidRDefault="00A62805" w:rsidP="00A6280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Имеющийся на трубопроводе дефект не предоставляет опасности. При сложившейся ситуации следует проводить </w:t>
      </w:r>
      <w:r w:rsidR="00821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текущую диагностику трубопроводов по </w:t>
      </w:r>
      <w:r w:rsidR="002A11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графикам н</w:t>
      </w:r>
      <w:r w:rsidR="00821FF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предприятии, составленным согласно имеющимся стандартам и правилам.</w:t>
      </w:r>
    </w:p>
    <w:p w:rsidR="004B42A1" w:rsidRDefault="004B42A1" w:rsidP="004B42A1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2A1" w:rsidRDefault="002A1159" w:rsidP="004B42A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object w:dxaOrig="8520" w:dyaOrig="5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6pt;height:257.25pt" o:ole="">
            <v:imagedata r:id="rId7" o:title=""/>
          </v:shape>
          <o:OLEObject Type="Embed" ProgID="Visio.Drawing.15" ShapeID="_x0000_i1029" DrawAspect="Content" ObjectID="_1701626619" r:id="rId8"/>
        </w:object>
      </w:r>
    </w:p>
    <w:p w:rsidR="004B42A1" w:rsidRDefault="004B42A1" w:rsidP="004B42A1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Рисунок </w:t>
      </w:r>
      <w:r w:rsidR="00A62805" w:rsidRPr="00A628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Расположение дефекта на графике с целью определения потенциальной опасности</w:t>
      </w:r>
    </w:p>
    <w:p w:rsidR="00A62805" w:rsidRDefault="00A62805" w:rsidP="004B42A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805" w:rsidRDefault="00A62805" w:rsidP="004B42A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678" w:rsidRPr="00EC17B2" w:rsidRDefault="00A55678" w:rsidP="00A5567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7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Расчет остаточного ресурса участка трубопровода с поверхностным дефектом.</w:t>
      </w:r>
    </w:p>
    <w:p w:rsidR="008B562E" w:rsidRDefault="00F86597" w:rsidP="00F86597">
      <w:pPr>
        <w:pStyle w:val="a3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минимально допустимой толщины стенки труб</w:t>
      </w:r>
    </w:p>
    <w:p w:rsidR="00F86597" w:rsidRDefault="00F86597" w:rsidP="00F865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значение:</w:t>
      </w:r>
    </w:p>
    <w:p w:rsidR="00F86597" w:rsidRDefault="002A1159" w:rsidP="00F865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σmin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σmax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</w:p>
    <w:p w:rsidR="00F86597" w:rsidRDefault="00F86597" w:rsidP="00F865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6597" w:rsidRDefault="00557881" w:rsidP="00F8659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557881" w:rsidRPr="00557881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557881" w:rsidRPr="00557881">
        <w:rPr>
          <w:rFonts w:ascii="Times New Roman" w:eastAsiaTheme="minorEastAsia" w:hAnsi="Times New Roman" w:cs="Times New Roman"/>
          <w:sz w:val="28"/>
          <w:szCs w:val="28"/>
        </w:rPr>
        <w:t xml:space="preserve"> = 1,0 - </w:t>
      </w:r>
      <w:r w:rsidR="00557881" w:rsidRPr="00557881">
        <w:rPr>
          <w:rFonts w:ascii="Times New Roman" w:hAnsi="Times New Roman" w:cs="Times New Roman"/>
          <w:color w:val="000000"/>
          <w:sz w:val="28"/>
          <w:szCs w:val="28"/>
        </w:rPr>
        <w:t>коэффициент условий работы материала труб при повышенных температурах</w:t>
      </w:r>
      <w:r w:rsidR="005578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6597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557881" w:rsidRPr="00557881">
        <w:rPr>
          <w:rFonts w:ascii="Times New Roman" w:eastAsiaTheme="minorEastAsia" w:hAnsi="Times New Roman" w:cs="Times New Roman"/>
          <w:sz w:val="28"/>
          <w:szCs w:val="28"/>
        </w:rPr>
        <w:t xml:space="preserve"> =0,</w:t>
      </w:r>
      <w:r w:rsidR="00860F3A">
        <w:rPr>
          <w:rFonts w:ascii="Times New Roman" w:eastAsiaTheme="minorEastAsia" w:hAnsi="Times New Roman" w:cs="Times New Roman"/>
          <w:sz w:val="28"/>
          <w:szCs w:val="28"/>
        </w:rPr>
        <w:t>7</w:t>
      </w:r>
      <w:r w:rsidR="00557881" w:rsidRPr="00557881">
        <w:rPr>
          <w:rFonts w:ascii="Times New Roman" w:eastAsiaTheme="minorEastAsia" w:hAnsi="Times New Roman" w:cs="Times New Roman"/>
          <w:sz w:val="28"/>
          <w:szCs w:val="28"/>
        </w:rPr>
        <w:t xml:space="preserve">5 - </w:t>
      </w:r>
      <w:r w:rsidR="00557881" w:rsidRPr="00557881">
        <w:rPr>
          <w:rFonts w:ascii="Times New Roman" w:hAnsi="Times New Roman" w:cs="Times New Roman"/>
          <w:color w:val="000000"/>
          <w:sz w:val="28"/>
          <w:szCs w:val="28"/>
        </w:rPr>
        <w:t>коэффициент условий работы трубопровода, величина которого принимается в зависимости от транспортируемой среды</w:t>
      </w:r>
      <w:r w:rsidR="0055788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881" w:rsidRDefault="002A1159" w:rsidP="0055788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σmin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σmax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260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*1,0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0*0,75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</m:t>
          </m:r>
          <m:r>
            <w:rPr>
              <w:rFonts w:ascii="Cambria Math" w:hAnsi="Cambria Math" w:cs="Times New Roman"/>
              <w:sz w:val="28"/>
              <w:szCs w:val="28"/>
            </w:rPr>
            <m:t>83</m:t>
          </m:r>
        </m:oMath>
      </m:oMathPara>
    </w:p>
    <w:p w:rsidR="00557881" w:rsidRDefault="00557881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условии</w:t>
      </w:r>
    </w:p>
    <w:p w:rsidR="00557881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σmin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σmax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&gt;0,75</m:t>
          </m:r>
        </m:oMath>
      </m:oMathPara>
    </w:p>
    <w:p w:rsidR="00557881" w:rsidRDefault="00B612CA" w:rsidP="00B612C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FD0234">
        <w:rPr>
          <w:rFonts w:ascii="Times New Roman" w:hAnsi="Times New Roman" w:cs="Times New Roman"/>
          <w:color w:val="000000"/>
          <w:sz w:val="28"/>
          <w:szCs w:val="28"/>
        </w:rPr>
        <w:t>асчетная отбраковочная величина рассчитывается по формуле:</w:t>
      </w:r>
    </w:p>
    <w:p w:rsidR="00FD0234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отб.рас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n*P*α*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н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2*(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P)</m:t>
              </m:r>
            </m:den>
          </m:f>
        </m:oMath>
      </m:oMathPara>
    </w:p>
    <w:p w:rsidR="00557881" w:rsidRDefault="00FD0234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</w:t>
      </w:r>
    </w:p>
    <w:p w:rsidR="00FD0234" w:rsidRDefault="00FD0234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n</m:t>
        </m:r>
      </m:oMath>
      <w:r w:rsidRPr="00FD02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1,2 - </w:t>
      </w:r>
      <w:r w:rsidRPr="00FD0234">
        <w:rPr>
          <w:rFonts w:ascii="Times New Roman" w:hAnsi="Times New Roman" w:cs="Times New Roman"/>
          <w:color w:val="000000"/>
          <w:sz w:val="28"/>
          <w:szCs w:val="28"/>
        </w:rPr>
        <w:t>коэффициент перегрузки рабочего давления в трубопроводе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F4E80" w:rsidRDefault="00BF4E80" w:rsidP="0055788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н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– наружный диаметр  трубы, м;</w:t>
      </w:r>
    </w:p>
    <w:p w:rsidR="00BF4E80" w:rsidRPr="00BF4E80" w:rsidRDefault="00BF4E80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  - рабочее давление, </w:t>
      </w:r>
      <w:r w:rsidR="0023315A">
        <w:rPr>
          <w:rFonts w:ascii="Times New Roman" w:eastAsiaTheme="minorEastAsia" w:hAnsi="Times New Roman" w:cs="Times New Roman"/>
          <w:color w:val="000000"/>
          <w:sz w:val="28"/>
          <w:szCs w:val="28"/>
        </w:rPr>
        <w:t>МПа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;</w:t>
      </w:r>
    </w:p>
    <w:p w:rsidR="00557881" w:rsidRDefault="00FD0234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r>
          <w:rPr>
            <w:rFonts w:ascii="Cambria Math" w:hAnsi="Cambria Math" w:cs="Times New Roman"/>
            <w:color w:val="000000"/>
            <w:sz w:val="28"/>
            <w:szCs w:val="28"/>
            <w:lang w:val="en-US"/>
          </w:rPr>
          <m:t>α</m:t>
        </m:r>
      </m:oMath>
      <w:r w:rsidRPr="00FD0234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= 1 - </w:t>
      </w:r>
      <w:r w:rsidRPr="00FD0234">
        <w:rPr>
          <w:rFonts w:ascii="Times New Roman" w:hAnsi="Times New Roman" w:cs="Times New Roman"/>
          <w:color w:val="000000"/>
          <w:sz w:val="28"/>
          <w:szCs w:val="28"/>
        </w:rPr>
        <w:t>коэффициент несущей способности трубы</w:t>
      </w:r>
      <w:r w:rsidR="002A11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159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Расчетное сопротивление материала труб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определяется по формуле:</w:t>
      </w:r>
    </w:p>
    <w:p w:rsidR="00860F3A" w:rsidRPr="00860F3A" w:rsidRDefault="002A1159" w:rsidP="0055788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σmax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</m:oMath>
      </m:oMathPara>
    </w:p>
    <w:p w:rsidR="00860F3A" w:rsidRDefault="00860F3A" w:rsidP="0055788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:rsidR="00860F3A" w:rsidRPr="00860F3A" w:rsidRDefault="002A1159" w:rsidP="0055788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60F3A" w:rsidRPr="00860F3A">
        <w:rPr>
          <w:rFonts w:ascii="Times New Roman" w:eastAsiaTheme="minorEastAsia" w:hAnsi="Times New Roman" w:cs="Times New Roman"/>
          <w:sz w:val="28"/>
          <w:szCs w:val="28"/>
        </w:rPr>
        <w:t xml:space="preserve"> = 0,85 - </w:t>
      </w:r>
      <w:r w:rsidR="00860F3A" w:rsidRPr="00860F3A">
        <w:rPr>
          <w:rFonts w:ascii="Times New Roman" w:hAnsi="Times New Roman" w:cs="Times New Roman"/>
          <w:color w:val="000000"/>
          <w:sz w:val="28"/>
          <w:szCs w:val="28"/>
        </w:rPr>
        <w:t>коэффициент условий работы материала труб при разрыве;</w:t>
      </w:r>
    </w:p>
    <w:p w:rsidR="00860F3A" w:rsidRPr="00860F3A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60F3A" w:rsidRPr="00860F3A">
        <w:rPr>
          <w:rFonts w:ascii="Times New Roman" w:eastAsiaTheme="minorEastAsia" w:hAnsi="Times New Roman" w:cs="Times New Roman"/>
          <w:sz w:val="28"/>
          <w:szCs w:val="28"/>
        </w:rPr>
        <w:t xml:space="preserve"> = 0,8 - </w:t>
      </w:r>
      <w:r w:rsidR="00860F3A" w:rsidRPr="00860F3A">
        <w:rPr>
          <w:rFonts w:ascii="Times New Roman" w:hAnsi="Times New Roman" w:cs="Times New Roman"/>
          <w:color w:val="000000"/>
          <w:sz w:val="28"/>
          <w:szCs w:val="28"/>
        </w:rPr>
        <w:t>коэффициент однородности материала труб.</w:t>
      </w:r>
    </w:p>
    <w:p w:rsidR="00860F3A" w:rsidRPr="00BF4E80" w:rsidRDefault="002A1159" w:rsidP="00860F3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4</m:t>
          </m:r>
          <m:r>
            <w:rPr>
              <w:rFonts w:ascii="Cambria Math" w:hAnsi="Cambria Math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0*0,85*0,75*0,8=2</m:t>
          </m:r>
          <m:r>
            <w:rPr>
              <w:rFonts w:ascii="Cambria Math" w:hAnsi="Cambria Math" w:cs="Times New Roman"/>
              <w:sz w:val="28"/>
              <w:szCs w:val="28"/>
            </w:rPr>
            <m:t>1</m:t>
          </m:r>
          <m:r>
            <w:rPr>
              <w:rFonts w:ascii="Cambria Math" w:hAnsi="Cambria Math" w:cs="Times New Roman"/>
              <w:sz w:val="28"/>
              <w:szCs w:val="28"/>
            </w:rPr>
            <m:t>4 МПа.</m:t>
          </m:r>
        </m:oMath>
      </m:oMathPara>
    </w:p>
    <w:p w:rsidR="00860F3A" w:rsidRPr="002A1159" w:rsidRDefault="002A1159" w:rsidP="005578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1159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Теперь определим расчетную отб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A1159">
        <w:rPr>
          <w:rFonts w:ascii="Times New Roman" w:hAnsi="Times New Roman" w:cs="Times New Roman"/>
          <w:color w:val="000000"/>
          <w:sz w:val="28"/>
          <w:szCs w:val="28"/>
        </w:rPr>
        <w:t xml:space="preserve">аковочную </w:t>
      </w:r>
      <w:r>
        <w:rPr>
          <w:rFonts w:ascii="Times New Roman" w:hAnsi="Times New Roman" w:cs="Times New Roman"/>
          <w:color w:val="000000"/>
          <w:sz w:val="28"/>
          <w:szCs w:val="28"/>
        </w:rPr>
        <w:t>толщину:</w:t>
      </w:r>
    </w:p>
    <w:p w:rsidR="00FD0234" w:rsidRDefault="002A1159" w:rsidP="00FD02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отб.рас</m:t>
              </m:r>
            </m:sub>
          </m:sSub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1,2*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6,4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*1*0,</m:t>
              </m:r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377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2*(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4+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1,2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6,4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)</m:t>
              </m:r>
            </m:den>
          </m:f>
          <m:r>
            <w:rPr>
              <w:rFonts w:ascii="Cambria Math" w:hAnsi="Cambria Math" w:cs="Times New Roman"/>
              <w:color w:val="000000"/>
              <w:sz w:val="28"/>
              <w:szCs w:val="28"/>
            </w:rPr>
            <m:t>=0,0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>065</m:t>
          </m:r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 м</m:t>
          </m:r>
        </m:oMath>
      </m:oMathPara>
    </w:p>
    <w:p w:rsidR="00F86597" w:rsidRDefault="00860F3A" w:rsidP="00F86597">
      <w:pPr>
        <w:pStyle w:val="a3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минимальной толщины стенки трубопровода</w:t>
      </w:r>
    </w:p>
    <w:p w:rsidR="00860F3A" w:rsidRDefault="002A1159" w:rsidP="00860F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min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-δ</m:t>
          </m:r>
        </m:oMath>
      </m:oMathPara>
    </w:p>
    <w:p w:rsidR="00860F3A" w:rsidRDefault="008D3D2E" w:rsidP="002A11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8D3D2E" w:rsidRDefault="002A1159" w:rsidP="002A1159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</m:t>
            </m:r>
          </m:sub>
        </m:sSub>
      </m:oMath>
      <w:r w:rsidR="008D3D2E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DE392E">
        <w:rPr>
          <w:rFonts w:ascii="Times New Roman" w:eastAsiaTheme="minorEastAsia" w:hAnsi="Times New Roman" w:cs="Times New Roman"/>
          <w:sz w:val="28"/>
          <w:szCs w:val="28"/>
        </w:rPr>
        <w:t xml:space="preserve"> 12 мм = </w:t>
      </w:r>
      <w:r w:rsidR="008D3D2E">
        <w:rPr>
          <w:rFonts w:ascii="Times New Roman" w:eastAsiaTheme="minorEastAsia" w:hAnsi="Times New Roman" w:cs="Times New Roman"/>
          <w:sz w:val="28"/>
          <w:szCs w:val="28"/>
        </w:rPr>
        <w:t>0,0</w:t>
      </w:r>
      <w:r w:rsidR="00DE392E">
        <w:rPr>
          <w:rFonts w:ascii="Times New Roman" w:eastAsiaTheme="minorEastAsia" w:hAnsi="Times New Roman" w:cs="Times New Roman"/>
          <w:sz w:val="28"/>
          <w:szCs w:val="28"/>
        </w:rPr>
        <w:t>12</w:t>
      </w:r>
      <w:r w:rsidR="008D3D2E">
        <w:rPr>
          <w:rFonts w:ascii="Times New Roman" w:eastAsiaTheme="minorEastAsia" w:hAnsi="Times New Roman" w:cs="Times New Roman"/>
          <w:sz w:val="28"/>
          <w:szCs w:val="28"/>
        </w:rPr>
        <w:t xml:space="preserve"> м – нормативная толщина стенки;</w:t>
      </w:r>
    </w:p>
    <w:p w:rsidR="008D3D2E" w:rsidRDefault="008D3D2E" w:rsidP="002A11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δ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DE392E">
        <w:rPr>
          <w:rFonts w:ascii="Times New Roman" w:eastAsiaTheme="minorEastAsia" w:hAnsi="Times New Roman" w:cs="Times New Roman"/>
          <w:sz w:val="28"/>
          <w:szCs w:val="28"/>
        </w:rPr>
        <w:t xml:space="preserve">3,5 мм  = </w:t>
      </w:r>
      <w:r>
        <w:rPr>
          <w:rFonts w:ascii="Times New Roman" w:eastAsiaTheme="minorEastAsia" w:hAnsi="Times New Roman" w:cs="Times New Roman"/>
          <w:sz w:val="28"/>
          <w:szCs w:val="28"/>
        </w:rPr>
        <w:t>0,00</w:t>
      </w:r>
      <w:r w:rsidR="00DE392E">
        <w:rPr>
          <w:rFonts w:ascii="Times New Roman" w:eastAsiaTheme="minorEastAsia" w:hAnsi="Times New Roman" w:cs="Times New Roman"/>
          <w:sz w:val="28"/>
          <w:szCs w:val="28"/>
        </w:rPr>
        <w:t>35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 – глубина дефекта</w:t>
      </w:r>
      <w:r w:rsidR="002A1159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D3D2E" w:rsidRDefault="002A1159" w:rsidP="008D3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min 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=0,0</m:t>
          </m:r>
          <m:r>
            <w:rPr>
              <w:rFonts w:ascii="Cambria Math" w:hAnsi="Cambria Math" w:cs="Times New Roman"/>
              <w:sz w:val="28"/>
              <w:szCs w:val="28"/>
            </w:rPr>
            <m:t>12</m:t>
          </m:r>
          <m:r>
            <w:rPr>
              <w:rFonts w:ascii="Cambria Math" w:hAnsi="Cambria Math" w:cs="Times New Roman"/>
              <w:sz w:val="28"/>
              <w:szCs w:val="28"/>
            </w:rPr>
            <m:t>-0,00</m:t>
          </m:r>
          <m:r>
            <w:rPr>
              <w:rFonts w:ascii="Cambria Math" w:hAnsi="Cambria Math" w:cs="Times New Roman"/>
              <w:sz w:val="28"/>
              <w:szCs w:val="28"/>
            </w:rPr>
            <m:t>35</m:t>
          </m:r>
          <m:r>
            <w:rPr>
              <w:rFonts w:ascii="Cambria Math" w:hAnsi="Cambria Math" w:cs="Times New Roman"/>
              <w:sz w:val="28"/>
              <w:szCs w:val="28"/>
            </w:rPr>
            <m:t>=0,0</m:t>
          </m:r>
          <m:r>
            <w:rPr>
              <w:rFonts w:ascii="Cambria Math" w:hAnsi="Cambria Math" w:cs="Times New Roman"/>
              <w:sz w:val="28"/>
              <w:szCs w:val="28"/>
            </w:rPr>
            <m:t>085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м</m:t>
          </m:r>
        </m:oMath>
      </m:oMathPara>
    </w:p>
    <w:p w:rsidR="00F86597" w:rsidRDefault="008D3D2E" w:rsidP="00F86597">
      <w:pPr>
        <w:pStyle w:val="a3"/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остаточного ресурса трубопровода</w:t>
      </w:r>
    </w:p>
    <w:p w:rsidR="008D3D2E" w:rsidRDefault="002A1159" w:rsidP="008D3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ост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отб.рас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ср</m:t>
                  </m:r>
                </m:sub>
              </m:sSub>
            </m:den>
          </m:f>
        </m:oMath>
      </m:oMathPara>
    </w:p>
    <w:p w:rsidR="008D3D2E" w:rsidRDefault="008D3D2E" w:rsidP="002A115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:rsidR="008D3D2E" w:rsidRDefault="002A1159" w:rsidP="002A1159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ср</m:t>
            </m:r>
          </m:sub>
        </m:sSub>
      </m:oMath>
      <w:r w:rsidR="008D3D2E">
        <w:rPr>
          <w:rFonts w:ascii="Times New Roman" w:eastAsiaTheme="minorEastAsia" w:hAnsi="Times New Roman" w:cs="Times New Roman"/>
          <w:sz w:val="28"/>
          <w:szCs w:val="28"/>
        </w:rPr>
        <w:t xml:space="preserve"> = 0,3 мм/год – средняя скорость коррозии.</w:t>
      </w:r>
    </w:p>
    <w:p w:rsidR="008D3D2E" w:rsidRPr="00321642" w:rsidRDefault="002A1159" w:rsidP="008D3D2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ост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0,0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085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0,0</m:t>
                  </m:r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065</m:t>
                  </m: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e>
              </m:d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*1000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6,6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>лет.</m:t>
          </m:r>
        </m:oMath>
      </m:oMathPara>
    </w:p>
    <w:p w:rsidR="00321642" w:rsidRDefault="00321642" w:rsidP="008D3D2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1642" w:rsidRDefault="00321642" w:rsidP="008D3D2E">
      <w:pPr>
        <w:spacing w:after="0" w:line="360" w:lineRule="auto"/>
        <w:rPr>
          <w:noProof/>
          <w:lang w:eastAsia="ru-RU"/>
        </w:rPr>
      </w:pPr>
    </w:p>
    <w:p w:rsidR="008306A4" w:rsidRDefault="008306A4" w:rsidP="008D3D2E">
      <w:pPr>
        <w:spacing w:after="0" w:line="360" w:lineRule="auto"/>
        <w:rPr>
          <w:noProof/>
          <w:lang w:eastAsia="ru-RU"/>
        </w:rPr>
      </w:pPr>
    </w:p>
    <w:p w:rsidR="00321642" w:rsidRDefault="00321642" w:rsidP="008D3D2E">
      <w:pPr>
        <w:spacing w:after="0" w:line="360" w:lineRule="auto"/>
        <w:rPr>
          <w:noProof/>
          <w:lang w:eastAsia="ru-RU"/>
        </w:rPr>
      </w:pPr>
      <w:bookmarkStart w:id="0" w:name="_GoBack"/>
      <w:bookmarkEnd w:id="0"/>
    </w:p>
    <w:p w:rsidR="008306A4" w:rsidRDefault="008306A4" w:rsidP="008D3D2E">
      <w:pPr>
        <w:spacing w:after="0" w:line="360" w:lineRule="auto"/>
        <w:rPr>
          <w:noProof/>
          <w:lang w:eastAsia="ru-RU"/>
        </w:rPr>
      </w:pPr>
    </w:p>
    <w:p w:rsidR="00321642" w:rsidRDefault="00321642" w:rsidP="008D3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D3D2E" w:rsidRDefault="008D3D2E" w:rsidP="008D3D2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8D3D2E" w:rsidRPr="008D3D2E" w:rsidRDefault="008D3D2E" w:rsidP="008D3D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8D3D2E" w:rsidRPr="008D3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6075"/>
    <w:multiLevelType w:val="hybridMultilevel"/>
    <w:tmpl w:val="E48E9E1C"/>
    <w:lvl w:ilvl="0" w:tplc="5936E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FE5048"/>
    <w:multiLevelType w:val="hybridMultilevel"/>
    <w:tmpl w:val="3230ADC4"/>
    <w:lvl w:ilvl="0" w:tplc="40847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B81B33"/>
    <w:multiLevelType w:val="hybridMultilevel"/>
    <w:tmpl w:val="65BE8582"/>
    <w:lvl w:ilvl="0" w:tplc="40847B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A42FF7"/>
    <w:multiLevelType w:val="multilevel"/>
    <w:tmpl w:val="0266608E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8C"/>
    <w:rsid w:val="000F7E91"/>
    <w:rsid w:val="00131806"/>
    <w:rsid w:val="00233011"/>
    <w:rsid w:val="0023315A"/>
    <w:rsid w:val="002A1159"/>
    <w:rsid w:val="00321642"/>
    <w:rsid w:val="003707CD"/>
    <w:rsid w:val="004B42A1"/>
    <w:rsid w:val="00557881"/>
    <w:rsid w:val="00577B8C"/>
    <w:rsid w:val="00772E76"/>
    <w:rsid w:val="00821FFF"/>
    <w:rsid w:val="008306A4"/>
    <w:rsid w:val="00860F3A"/>
    <w:rsid w:val="00872DBE"/>
    <w:rsid w:val="008B562E"/>
    <w:rsid w:val="008D3D2E"/>
    <w:rsid w:val="00A55678"/>
    <w:rsid w:val="00A62805"/>
    <w:rsid w:val="00A8560F"/>
    <w:rsid w:val="00B612CA"/>
    <w:rsid w:val="00BF4E80"/>
    <w:rsid w:val="00C07BFC"/>
    <w:rsid w:val="00C66918"/>
    <w:rsid w:val="00DE392E"/>
    <w:rsid w:val="00EC17B2"/>
    <w:rsid w:val="00F86597"/>
    <w:rsid w:val="00F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8F72"/>
  <w15:chartTrackingRefBased/>
  <w15:docId w15:val="{862F2CFD-C213-47C0-9CEC-5460154A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2A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86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Visio.vsd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Nadezhda</cp:lastModifiedBy>
  <cp:revision>7</cp:revision>
  <dcterms:created xsi:type="dcterms:W3CDTF">2021-12-21T12:51:00Z</dcterms:created>
  <dcterms:modified xsi:type="dcterms:W3CDTF">2021-12-21T16:17:00Z</dcterms:modified>
</cp:coreProperties>
</file>